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center" w:pos="4153"/>
        </w:tabs>
        <w:jc w:val="center"/>
        <w:rPr>
          <w:rFonts w:hint="eastAsia" w:ascii="方正仿宋简体" w:eastAsia="方正仿宋简体"/>
          <w:b/>
          <w:sz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lang w:val="en-US" w:eastAsia="zh-CN"/>
        </w:rPr>
        <w:t>附录五 额外加分项目</w:t>
      </w:r>
    </w:p>
    <w:p>
      <w:pPr>
        <w:numPr>
          <w:ilvl w:val="0"/>
          <w:numId w:val="0"/>
        </w:numPr>
        <w:tabs>
          <w:tab w:val="center" w:pos="4153"/>
        </w:tabs>
        <w:jc w:val="center"/>
        <w:rPr>
          <w:rFonts w:hint="eastAsia" w:ascii="方正仿宋简体" w:eastAsia="方正仿宋简体"/>
          <w:b/>
          <w:sz w:val="32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对于凡是参与评定的社团，文化月之前以及文化月之后所有的活动策划进行综合打分：</w:t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好：7-10分  较好：4-6分  一般：0-3分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参与社团文化节开幕式，表现积极，参与度高，配合社管日常工作，且具有一定影响力的，直接加5分。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参与社团文化节闭幕式晚会，所报节目符合晚会主题，依据自身特色，配合社管日常工作，且具有一定创意的，直接加5分。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自2016年9月1日至2016年12月20日，凡是举办校内大型比赛、晚会、外展活动（不包括社内日常活动、聚餐）两次以上，直接加5分。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自2016年9月1日至2016年12月20日，凡是举办校内大型比赛、晚会、外展活动（不包括社内日常活动、聚餐）一次以上，直接加3分。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各社团凡是曾在2015年12月份获得星级社团、2016年9月至今在校内校外获得荣誉奖项，每项直接加3分。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各社团日常活动（不包括聚餐）：排练、训练、出访、交流等，需提供照片或教室申请表，注明日期，每次日常活动直接加2分。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社内活动人员流失情况占总人数10％以下，直接加1分。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74D7"/>
    <w:rsid w:val="481774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 Gothic" w:hAnsi="Century Gothic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2016-11-29T05:31:00Z</dcterms:created>
  <dc:creator>Administrator</dc:creator>
  <cp:lastModifiedBy>Administrator</cp:lastModifiedBy>
  <dcterms:modified xsi:type="dcterms:W3CDTF">2016-11-29T05:31:46Z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